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72CCD47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DD5ED2" w:rsidRPr="00DD5ED2">
        <w:rPr>
          <w:b/>
          <w:i/>
          <w:noProof/>
          <w:sz w:val="28"/>
        </w:rPr>
        <w:t>S5-245576</w:t>
      </w:r>
      <w:bookmarkStart w:id="0" w:name="_GoBack"/>
      <w:bookmarkEnd w:id="0"/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8ACA9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4EC3">
        <w:rPr>
          <w:rFonts w:ascii="Arial" w:hAnsi="Arial"/>
          <w:b/>
          <w:lang w:val="en-US"/>
        </w:rPr>
        <w:t>Huawei</w:t>
      </w:r>
    </w:p>
    <w:p w14:paraId="2C458A19" w14:textId="381C59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3977" w:rsidRPr="00CF3977">
        <w:rPr>
          <w:rFonts w:ascii="Arial" w:hAnsi="Arial" w:cs="Arial"/>
          <w:b/>
        </w:rPr>
        <w:t>Discussion Paper on business mode</w:t>
      </w:r>
      <w:r w:rsidR="00A80444">
        <w:rPr>
          <w:rFonts w:ascii="Arial" w:hAnsi="Arial" w:cs="Arial"/>
          <w:b/>
        </w:rPr>
        <w:t>l</w:t>
      </w:r>
      <w:r w:rsidR="00CF3977" w:rsidRPr="00CF3977">
        <w:rPr>
          <w:rFonts w:ascii="Arial" w:hAnsi="Arial" w:cs="Arial"/>
          <w:b/>
        </w:rPr>
        <w:t>s for Ambient IoT</w:t>
      </w:r>
    </w:p>
    <w:p w14:paraId="02CFB229" w14:textId="72F0D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66C415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4EC3">
        <w:rPr>
          <w:rFonts w:ascii="Arial" w:hAnsi="Arial"/>
          <w:b/>
        </w:rPr>
        <w:t>7.</w:t>
      </w:r>
      <w:r w:rsidR="00CF3977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9693BD8" w:rsidR="00C022E3" w:rsidRDefault="00F7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</w:t>
      </w:r>
      <w:r w:rsidR="005F17AC">
        <w:rPr>
          <w:b/>
          <w:i/>
        </w:rPr>
        <w:t xml:space="preserve"> business models for Ambient IoT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B0FC880" w14:textId="636D0FDD" w:rsidR="000E7E5D" w:rsidRPr="000E7E5D" w:rsidRDefault="000E7E5D" w:rsidP="000E7E5D">
      <w:pPr>
        <w:pStyle w:val="Reference"/>
      </w:pPr>
      <w:bookmarkStart w:id="1" w:name="_Hlk178586591"/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22.840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0E7E5D">
        <w:rPr>
          <w:lang w:val="x-none"/>
        </w:rPr>
        <w:t>Study on Ambient power-enabled Internet of Things</w:t>
      </w:r>
      <w:r w:rsidRPr="00BD6F46">
        <w:t>".</w:t>
      </w:r>
    </w:p>
    <w:p w14:paraId="0D1D71FC" w14:textId="1533B0BC" w:rsidR="00F74EC3" w:rsidRDefault="00F74EC3" w:rsidP="00F74EC3">
      <w:pPr>
        <w:pStyle w:val="Reference"/>
      </w:pPr>
      <w:r w:rsidRPr="00B179E9">
        <w:rPr>
          <w:lang w:val="x-none"/>
        </w:rPr>
        <w:t>[</w:t>
      </w:r>
      <w:r w:rsidR="000E7E5D"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 w:rsidR="00973E90">
        <w:rPr>
          <w:lang w:val="x-none"/>
        </w:rPr>
        <w:t>22.369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973E90" w:rsidRPr="00973E90">
        <w:rPr>
          <w:lang w:val="x-none"/>
        </w:rPr>
        <w:t>Service requirements for Ambient power-enabled IoT</w:t>
      </w:r>
      <w:r w:rsidRPr="00BD6F46">
        <w:t>".</w:t>
      </w:r>
    </w:p>
    <w:p w14:paraId="75CFBA1D" w14:textId="71FCC4F4" w:rsidR="007C0461" w:rsidRDefault="007C0461" w:rsidP="007C0461">
      <w:pPr>
        <w:pStyle w:val="Reference"/>
      </w:pPr>
      <w:r w:rsidRPr="00EB14CD">
        <w:t>[</w:t>
      </w:r>
      <w:r w:rsidR="000E7E5D">
        <w:t>3</w:t>
      </w:r>
      <w:r w:rsidRPr="00EB14CD">
        <w:t>]</w:t>
      </w:r>
      <w:r w:rsidRPr="00EB14CD">
        <w:tab/>
        <w:t>3GPP T</w:t>
      </w:r>
      <w:r w:rsidR="00973E90">
        <w:t>R</w:t>
      </w:r>
      <w:r w:rsidRPr="00EB14CD">
        <w:t xml:space="preserve"> </w:t>
      </w:r>
      <w:r w:rsidR="00973E90">
        <w:t>23.700-13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973E90" w:rsidRPr="00973E90">
        <w:t>Study on Architecture support of Ambient power-enabled Internet of Things</w:t>
      </w:r>
      <w:r w:rsidRPr="00BD6F46">
        <w:t>".</w:t>
      </w:r>
    </w:p>
    <w:p w14:paraId="5285C6F5" w14:textId="2E7C3271" w:rsidR="003C271E" w:rsidRDefault="003C271E" w:rsidP="007C0461">
      <w:pPr>
        <w:pStyle w:val="Reference"/>
      </w:pPr>
      <w:r>
        <w:t>[</w:t>
      </w:r>
      <w:r w:rsidR="000E7E5D">
        <w:t>4</w:t>
      </w:r>
      <w:r>
        <w:t>]</w:t>
      </w:r>
      <w:r>
        <w:tab/>
      </w:r>
      <w:r w:rsidRPr="00EB14CD">
        <w:t>3GPP T</w:t>
      </w:r>
      <w:r>
        <w:t>R</w:t>
      </w:r>
      <w:r w:rsidRPr="00EB14CD">
        <w:t xml:space="preserve"> </w:t>
      </w:r>
      <w:r>
        <w:t>38.848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FA33D8" w:rsidRPr="00FA33D8">
        <w:t>Study on Ambient IoT (Internet of Things) in RAN</w:t>
      </w:r>
      <w:r w:rsidRPr="00BD6F46">
        <w:t>".</w:t>
      </w:r>
    </w:p>
    <w:bookmarkEnd w:id="1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016FC36" w14:textId="77777777" w:rsidR="007C0461" w:rsidRPr="00E1285D" w:rsidRDefault="007C0461" w:rsidP="00F36F87">
      <w:pPr>
        <w:pStyle w:val="40"/>
      </w:pPr>
      <w:r w:rsidRPr="00E1285D">
        <w:t>3.1</w:t>
      </w:r>
      <w:r w:rsidRPr="00E1285D">
        <w:tab/>
      </w:r>
      <w:r w:rsidRPr="00E1285D">
        <w:tab/>
      </w:r>
      <w:r w:rsidRPr="00E1285D">
        <w:tab/>
        <w:t>Background</w:t>
      </w:r>
    </w:p>
    <w:p w14:paraId="42600931" w14:textId="334A4FDB" w:rsidR="00973E90" w:rsidRDefault="00973E90" w:rsidP="00973E90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</w:t>
      </w:r>
      <w:r w:rsidR="00095401">
        <w:t xml:space="preserve">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>
        <w:t xml:space="preserve">Combining Ambient IoT with </w:t>
      </w:r>
      <w:r w:rsidRPr="002064D5">
        <w:t xml:space="preserve">cellular </w:t>
      </w:r>
      <w:r>
        <w:t>network, operator can provide Ambient IoT Services (e.g. inventory) to third party applications</w:t>
      </w:r>
      <w:r>
        <w:rPr>
          <w:noProof/>
        </w:rPr>
        <w:t xml:space="preserve">, especially for </w:t>
      </w:r>
      <w:r w:rsidRPr="002064D5">
        <w:rPr>
          <w:noProof/>
        </w:rPr>
        <w:t xml:space="preserve">vertical industries </w:t>
      </w:r>
      <w:r>
        <w:rPr>
          <w:noProof/>
        </w:rPr>
        <w:t>(</w:t>
      </w:r>
      <w:r w:rsidRPr="002064D5">
        <w:rPr>
          <w:noProof/>
        </w:rPr>
        <w:t>e.g. smart manufacturing, logistics and warehousing</w:t>
      </w:r>
      <w:r>
        <w:rPr>
          <w:noProof/>
        </w:rPr>
        <w:t xml:space="preserve">). </w:t>
      </w:r>
    </w:p>
    <w:p w14:paraId="3A2318F8" w14:textId="0EB3F46C" w:rsidR="00973E90" w:rsidRDefault="00973E90" w:rsidP="00973E90">
      <w:r>
        <w:rPr>
          <w:noProof/>
        </w:rPr>
        <w:t xml:space="preserve">For instance,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>
        <w:rPr>
          <w:noProof/>
        </w:rPr>
        <w:t>, which is possibly in a periodical manner</w:t>
      </w:r>
      <w:r>
        <w:t>.</w:t>
      </w:r>
      <w:r w:rsidR="00B4779D">
        <w:t xml:space="preserve"> Figure 3.1-1 is an example of the inventory use case described in TR 22.840 [1] </w:t>
      </w:r>
      <w:r w:rsidR="00B4779D">
        <w:rPr>
          <w:rFonts w:hint="eastAsia"/>
          <w:lang w:eastAsia="zh-CN"/>
        </w:rPr>
        <w:t>cla</w:t>
      </w:r>
      <w:r w:rsidR="00B4779D">
        <w:t xml:space="preserve">use </w:t>
      </w:r>
      <w:r w:rsidR="00B4779D" w:rsidRPr="00B4779D">
        <w:t>5.1</w:t>
      </w:r>
      <w:r w:rsidR="00B4779D">
        <w:t>.</w:t>
      </w:r>
    </w:p>
    <w:p w14:paraId="3CCC530B" w14:textId="77777777" w:rsidR="00B4779D" w:rsidRDefault="00B4779D" w:rsidP="00B4779D">
      <w:pPr>
        <w:jc w:val="center"/>
      </w:pPr>
      <w:r w:rsidRPr="002E5B8D">
        <w:rPr>
          <w:rFonts w:ascii="Arial" w:hAnsi="Arial"/>
          <w:b/>
          <w:noProof/>
          <w:lang w:val="en-US" w:eastAsia="zh-CN"/>
        </w:rPr>
        <w:drawing>
          <wp:inline distT="0" distB="0" distL="0" distR="0" wp14:anchorId="187DD73D" wp14:editId="6017C82C">
            <wp:extent cx="4155743" cy="2019869"/>
            <wp:effectExtent l="0" t="0" r="0" b="0"/>
            <wp:docPr id="3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715" cy="202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1E83" w14:textId="5E6AAC26" w:rsidR="00B4779D" w:rsidRDefault="00B4779D" w:rsidP="00B4779D">
      <w:pPr>
        <w:pStyle w:val="TF"/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3.1</w:t>
      </w:r>
      <w:r>
        <w:rPr>
          <w:rFonts w:hint="eastAsia"/>
          <w:lang w:eastAsia="zh-CN"/>
        </w:rPr>
        <w:t xml:space="preserve">-1: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utomated warehouse inventory</w:t>
      </w:r>
    </w:p>
    <w:p w14:paraId="40522774" w14:textId="1C592C45" w:rsidR="00D65416" w:rsidRDefault="00D65416" w:rsidP="00973E90">
      <w:r>
        <w:t>Several 3GPP WGs are working on the standardization for this topic:</w:t>
      </w:r>
    </w:p>
    <w:p w14:paraId="2A35159E" w14:textId="3221F476" w:rsidR="00973E90" w:rsidRPr="00D65416" w:rsidRDefault="00D65416" w:rsidP="00D6541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t>-</w:t>
      </w:r>
      <w:r w:rsidRPr="00D65416">
        <w:rPr>
          <w:rFonts w:eastAsia="Times New Roman"/>
          <w:lang w:eastAsia="en-GB"/>
        </w:rPr>
        <w:tab/>
      </w:r>
      <w:r w:rsidR="00973E90" w:rsidRPr="00D65416">
        <w:rPr>
          <w:rFonts w:eastAsia="Times New Roman"/>
          <w:lang w:eastAsia="en-GB"/>
        </w:rPr>
        <w:t>3GPP SA1 has finished the Rel-19 SI (</w:t>
      </w:r>
      <w:proofErr w:type="spellStart"/>
      <w:r w:rsidR="00973E90" w:rsidRPr="00D65416">
        <w:rPr>
          <w:rFonts w:eastAsia="Times New Roman"/>
          <w:lang w:eastAsia="en-GB"/>
        </w:rPr>
        <w:t>FS_AmbientIoT</w:t>
      </w:r>
      <w:proofErr w:type="spellEnd"/>
      <w:r w:rsidR="003069D8" w:rsidRPr="00D65416">
        <w:rPr>
          <w:rFonts w:eastAsia="Times New Roman" w:hint="eastAsia"/>
          <w:lang w:eastAsia="en-GB"/>
        </w:rPr>
        <w:t>/</w:t>
      </w:r>
      <w:r w:rsidR="003069D8" w:rsidRPr="00D65416">
        <w:rPr>
          <w:rFonts w:eastAsia="Times New Roman"/>
          <w:lang w:eastAsia="en-GB"/>
        </w:rPr>
        <w:t>950004</w:t>
      </w:r>
      <w:r w:rsidR="00973E90" w:rsidRPr="00D65416">
        <w:rPr>
          <w:rFonts w:eastAsia="Times New Roman"/>
          <w:lang w:eastAsia="en-GB"/>
        </w:rPr>
        <w:t>) and WI (</w:t>
      </w:r>
      <w:proofErr w:type="spellStart"/>
      <w:r w:rsidR="00973E90" w:rsidRPr="00D65416">
        <w:rPr>
          <w:rFonts w:eastAsia="Times New Roman"/>
          <w:lang w:eastAsia="en-GB"/>
        </w:rPr>
        <w:t>AmbientIoT</w:t>
      </w:r>
      <w:proofErr w:type="spellEnd"/>
      <w:r w:rsidR="003069D8" w:rsidRPr="00D65416">
        <w:rPr>
          <w:rFonts w:eastAsia="Times New Roman"/>
          <w:lang w:eastAsia="en-GB"/>
        </w:rPr>
        <w:t>/1020030</w:t>
      </w:r>
      <w:r w:rsidR="00973E90" w:rsidRPr="00D65416">
        <w:rPr>
          <w:rFonts w:eastAsia="Times New Roman"/>
          <w:lang w:eastAsia="en-GB"/>
        </w:rPr>
        <w:t>) to define the service requirements for Ambient IoT in TS</w:t>
      </w:r>
      <w:r w:rsidR="003535F9">
        <w:rPr>
          <w:rFonts w:eastAsia="Times New Roman"/>
          <w:lang w:val="en-US" w:eastAsia="en-GB"/>
        </w:rPr>
        <w:t> </w:t>
      </w:r>
      <w:r w:rsidR="00973E90" w:rsidRPr="00D65416">
        <w:rPr>
          <w:rFonts w:eastAsia="Times New Roman"/>
          <w:lang w:eastAsia="en-GB"/>
        </w:rPr>
        <w:t>22.369</w:t>
      </w:r>
      <w:r w:rsidR="003535F9">
        <w:rPr>
          <w:rFonts w:eastAsia="Times New Roman"/>
          <w:lang w:val="en-US" w:eastAsia="en-GB"/>
        </w:rPr>
        <w:t> </w:t>
      </w:r>
      <w:r w:rsidR="00973E90" w:rsidRPr="00D65416">
        <w:rPr>
          <w:rFonts w:eastAsia="Times New Roman"/>
          <w:lang w:eastAsia="en-GB"/>
        </w:rPr>
        <w:t>[</w:t>
      </w:r>
      <w:r w:rsidR="00B4779D">
        <w:rPr>
          <w:rFonts w:eastAsia="Times New Roman"/>
          <w:lang w:eastAsia="en-GB"/>
        </w:rPr>
        <w:t>2</w:t>
      </w:r>
      <w:r w:rsidR="00973E90" w:rsidRPr="00D65416">
        <w:rPr>
          <w:rFonts w:eastAsia="Times New Roman"/>
          <w:lang w:eastAsia="en-GB"/>
        </w:rPr>
        <w:t xml:space="preserve">]. </w:t>
      </w:r>
    </w:p>
    <w:p w14:paraId="6C899A78" w14:textId="74E60853" w:rsidR="00D65416" w:rsidRDefault="00D65416" w:rsidP="00D6541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 w:rsidR="00BB2756" w:rsidRPr="00D65416">
        <w:rPr>
          <w:rFonts w:eastAsia="Times New Roman"/>
          <w:lang w:eastAsia="en-GB"/>
        </w:rPr>
        <w:t xml:space="preserve">3GPP SA2 </w:t>
      </w:r>
      <w:r w:rsidR="006D7AAA">
        <w:rPr>
          <w:rFonts w:eastAsia="Times New Roman"/>
          <w:lang w:eastAsia="en-GB"/>
        </w:rPr>
        <w:t>has an ongoing Rel-19</w:t>
      </w:r>
      <w:r w:rsidR="00BB2756" w:rsidRPr="00D65416">
        <w:rPr>
          <w:rFonts w:eastAsia="Times New Roman"/>
          <w:lang w:eastAsia="en-GB"/>
        </w:rPr>
        <w:t xml:space="preserve"> study</w:t>
      </w:r>
      <w:r w:rsidR="006D7AAA">
        <w:rPr>
          <w:rFonts w:eastAsia="Times New Roman"/>
          <w:lang w:eastAsia="en-GB"/>
        </w:rPr>
        <w:t xml:space="preserve"> on</w:t>
      </w:r>
      <w:r w:rsidR="00BB2756" w:rsidRPr="00D65416">
        <w:rPr>
          <w:rFonts w:eastAsia="Times New Roman"/>
          <w:lang w:eastAsia="en-GB"/>
        </w:rPr>
        <w:t xml:space="preserve"> the architecture support of Ambient IoT</w:t>
      </w:r>
      <w:r w:rsidR="003069D8" w:rsidRPr="00D65416">
        <w:rPr>
          <w:rFonts w:eastAsia="Times New Roman"/>
          <w:lang w:eastAsia="en-GB"/>
        </w:rPr>
        <w:t xml:space="preserve"> (</w:t>
      </w:r>
      <w:proofErr w:type="spellStart"/>
      <w:r w:rsidR="003069D8" w:rsidRPr="00D65416">
        <w:rPr>
          <w:rFonts w:eastAsia="Times New Roman"/>
          <w:lang w:eastAsia="en-GB"/>
        </w:rPr>
        <w:t>FS_AmbientIoT</w:t>
      </w:r>
      <w:proofErr w:type="spellEnd"/>
      <w:r w:rsidR="003069D8" w:rsidRPr="00D65416">
        <w:rPr>
          <w:rFonts w:eastAsia="Times New Roman"/>
          <w:lang w:eastAsia="en-GB"/>
        </w:rPr>
        <w:t>/1020071)</w:t>
      </w:r>
      <w:r w:rsidR="003535F9">
        <w:rPr>
          <w:rFonts w:eastAsia="Times New Roman"/>
          <w:lang w:eastAsia="en-GB"/>
        </w:rPr>
        <w:t xml:space="preserve"> in </w:t>
      </w:r>
      <w:r w:rsidR="003535F9" w:rsidRPr="00EB14CD">
        <w:rPr>
          <w:noProof/>
        </w:rPr>
        <w:t>T</w:t>
      </w:r>
      <w:r w:rsidR="003535F9">
        <w:rPr>
          <w:noProof/>
        </w:rPr>
        <w:t>R</w:t>
      </w:r>
      <w:r w:rsidR="003535F9">
        <w:t> </w:t>
      </w:r>
      <w:r w:rsidR="003535F9">
        <w:rPr>
          <w:noProof/>
        </w:rPr>
        <w:t>23.700-13</w:t>
      </w:r>
      <w:r w:rsidR="003535F9">
        <w:t> </w:t>
      </w:r>
      <w:r w:rsidR="003535F9">
        <w:rPr>
          <w:noProof/>
        </w:rPr>
        <w:t>[</w:t>
      </w:r>
      <w:r w:rsidR="00B4779D">
        <w:rPr>
          <w:noProof/>
        </w:rPr>
        <w:t>3</w:t>
      </w:r>
      <w:r w:rsidR="003535F9">
        <w:rPr>
          <w:noProof/>
        </w:rPr>
        <w:t>]</w:t>
      </w:r>
      <w:r w:rsidR="003069D8" w:rsidRPr="00D65416">
        <w:rPr>
          <w:rFonts w:eastAsia="Times New Roman"/>
          <w:lang w:eastAsia="en-GB"/>
        </w:rPr>
        <w:t>.</w:t>
      </w:r>
    </w:p>
    <w:p w14:paraId="5B0D8DF8" w14:textId="1F8FF380" w:rsidR="008A44D2" w:rsidRPr="00C03D0B" w:rsidRDefault="00D65416" w:rsidP="00C03D0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</w:r>
      <w:r w:rsidRPr="00D65416">
        <w:rPr>
          <w:rFonts w:eastAsia="Times New Roman"/>
          <w:lang w:eastAsia="en-GB"/>
        </w:rPr>
        <w:t>3GPP</w:t>
      </w:r>
      <w:r w:rsidR="006D7AAA">
        <w:rPr>
          <w:rFonts w:eastAsia="Times New Roman"/>
          <w:lang w:eastAsia="en-GB"/>
        </w:rPr>
        <w:t xml:space="preserve"> RAN has finished a Rel-18 study (</w:t>
      </w:r>
      <w:proofErr w:type="spellStart"/>
      <w:r w:rsidR="006D7AAA">
        <w:rPr>
          <w:rFonts w:eastAsia="Times New Roman"/>
          <w:lang w:eastAsia="en-GB"/>
        </w:rPr>
        <w:t>FS_Ambient_IoT_RAN</w:t>
      </w:r>
      <w:proofErr w:type="spellEnd"/>
      <w:r w:rsidR="006D7AAA">
        <w:rPr>
          <w:rFonts w:eastAsia="Times New Roman"/>
          <w:lang w:eastAsia="en-GB"/>
        </w:rPr>
        <w:t>/970078)</w:t>
      </w:r>
      <w:r w:rsidR="003535F9">
        <w:rPr>
          <w:rFonts w:eastAsia="Times New Roman"/>
          <w:lang w:eastAsia="en-GB"/>
        </w:rPr>
        <w:t xml:space="preserve"> in </w:t>
      </w:r>
      <w:r w:rsidR="003535F9" w:rsidRPr="00780C5A">
        <w:t>TR</w:t>
      </w:r>
      <w:r w:rsidR="003535F9">
        <w:t> </w:t>
      </w:r>
      <w:r w:rsidR="003535F9" w:rsidRPr="00780C5A">
        <w:t>38.848</w:t>
      </w:r>
      <w:r w:rsidR="003535F9">
        <w:t> </w:t>
      </w:r>
      <w:r w:rsidR="003535F9" w:rsidRPr="00780C5A">
        <w:t>[</w:t>
      </w:r>
      <w:r w:rsidR="00B4779D">
        <w:t>4</w:t>
      </w:r>
      <w:r w:rsidR="003535F9" w:rsidRPr="00780C5A">
        <w:t>]</w:t>
      </w:r>
      <w:r w:rsidR="006D7AAA">
        <w:rPr>
          <w:rFonts w:eastAsia="Times New Roman"/>
          <w:lang w:eastAsia="en-GB"/>
        </w:rPr>
        <w:t xml:space="preserve"> and has an ongoing Rel-19 study (</w:t>
      </w:r>
      <w:proofErr w:type="spellStart"/>
      <w:r w:rsidR="006D7AAA">
        <w:rPr>
          <w:rFonts w:eastAsia="Times New Roman"/>
          <w:lang w:eastAsia="en-GB"/>
        </w:rPr>
        <w:t>FS_Ambient_IoT_</w:t>
      </w:r>
      <w:r w:rsidR="006D7AAA" w:rsidRPr="006D7AAA">
        <w:rPr>
          <w:rFonts w:eastAsia="Times New Roman" w:hint="eastAsia"/>
          <w:lang w:eastAsia="en-GB"/>
        </w:rPr>
        <w:t>solutions</w:t>
      </w:r>
      <w:proofErr w:type="spellEnd"/>
      <w:r w:rsidR="006D7AAA">
        <w:rPr>
          <w:rFonts w:eastAsia="Times New Roman"/>
          <w:lang w:eastAsia="en-GB"/>
        </w:rPr>
        <w:t xml:space="preserve">/1020085). </w:t>
      </w:r>
    </w:p>
    <w:p w14:paraId="04E557AD" w14:textId="04F87A32" w:rsidR="008A44D2" w:rsidRPr="008A44D2" w:rsidRDefault="008A44D2" w:rsidP="00973E90">
      <w:r>
        <w:rPr>
          <w:highlight w:val="yellow"/>
        </w:rPr>
        <w:t>T</w:t>
      </w:r>
      <w:r>
        <w:rPr>
          <w:rFonts w:hint="eastAsia"/>
          <w:highlight w:val="yellow"/>
          <w:lang w:eastAsia="zh-CN"/>
        </w:rPr>
        <w:t>h</w:t>
      </w:r>
      <w:r>
        <w:rPr>
          <w:highlight w:val="yellow"/>
          <w:lang w:eastAsia="zh-CN"/>
        </w:rPr>
        <w:t xml:space="preserve">e </w:t>
      </w:r>
      <w:r w:rsidRPr="00FA3D90">
        <w:rPr>
          <w:highlight w:val="yellow"/>
        </w:rPr>
        <w:t>charging aspect of Ambient IoT</w:t>
      </w:r>
      <w:r>
        <w:rPr>
          <w:highlight w:val="yellow"/>
        </w:rPr>
        <w:t>, including</w:t>
      </w:r>
      <w:r w:rsidRPr="00FA3D90">
        <w:rPr>
          <w:highlight w:val="yellow"/>
        </w:rPr>
        <w:t xml:space="preserve"> the business models of Ambient IoT </w:t>
      </w:r>
      <w:r>
        <w:rPr>
          <w:highlight w:val="yellow"/>
        </w:rPr>
        <w:t xml:space="preserve">should </w:t>
      </w:r>
      <w:r w:rsidRPr="00FA3D90">
        <w:rPr>
          <w:highlight w:val="yellow"/>
        </w:rPr>
        <w:t>be analysed and discussed</w:t>
      </w:r>
      <w:r>
        <w:rPr>
          <w:highlight w:val="yellow"/>
        </w:rPr>
        <w:t xml:space="preserve"> in </w:t>
      </w:r>
      <w:r w:rsidR="00517510">
        <w:rPr>
          <w:highlight w:val="yellow"/>
        </w:rPr>
        <w:t xml:space="preserve">3GPP </w:t>
      </w:r>
      <w:r>
        <w:rPr>
          <w:highlight w:val="yellow"/>
        </w:rPr>
        <w:t>SA5</w:t>
      </w:r>
      <w:r w:rsidRPr="00FA3D90">
        <w:rPr>
          <w:highlight w:val="yellow"/>
        </w:rPr>
        <w:t xml:space="preserve">, </w:t>
      </w:r>
      <w:r w:rsidR="00C03D0B">
        <w:rPr>
          <w:highlight w:val="yellow"/>
        </w:rPr>
        <w:t>e.g</w:t>
      </w:r>
      <w:r w:rsidRPr="00FA3D90">
        <w:rPr>
          <w:highlight w:val="yellow"/>
        </w:rPr>
        <w:t xml:space="preserve">. how does </w:t>
      </w:r>
      <w:r>
        <w:rPr>
          <w:highlight w:val="yellow"/>
        </w:rPr>
        <w:t xml:space="preserve">telecom </w:t>
      </w:r>
      <w:r w:rsidRPr="00FA3D90">
        <w:rPr>
          <w:highlight w:val="yellow"/>
        </w:rPr>
        <w:t>operator monetize from Ambient IoT.</w:t>
      </w:r>
      <w:r w:rsidRPr="00525DDB">
        <w:t xml:space="preserve"> </w:t>
      </w:r>
    </w:p>
    <w:p w14:paraId="7A525565" w14:textId="2E746AFE" w:rsidR="00D36C64" w:rsidRDefault="00D36C64" w:rsidP="00F36F87">
      <w:pPr>
        <w:pStyle w:val="40"/>
      </w:pPr>
      <w:r w:rsidRPr="00E1285D">
        <w:t>3.</w:t>
      </w:r>
      <w:r w:rsidR="00CF491D">
        <w:t>2</w:t>
      </w:r>
      <w:r w:rsidRPr="00E1285D">
        <w:tab/>
      </w:r>
      <w:r w:rsidRPr="00E1285D">
        <w:tab/>
      </w:r>
      <w:r w:rsidRPr="00E1285D">
        <w:tab/>
      </w:r>
      <w:r w:rsidR="00886C5F">
        <w:t>Pre-condition</w:t>
      </w:r>
      <w:r w:rsidR="00517510">
        <w:t xml:space="preserve"> </w:t>
      </w:r>
    </w:p>
    <w:p w14:paraId="594D1B74" w14:textId="017AECBB" w:rsidR="00A63E97" w:rsidRDefault="00FF3EB3" w:rsidP="00A63E97">
      <w:pPr>
        <w:rPr>
          <w:noProof/>
        </w:rPr>
      </w:pPr>
      <w:r>
        <w:rPr>
          <w:rFonts w:hint="eastAsia"/>
          <w:noProof/>
          <w:lang w:eastAsia="zh-CN"/>
        </w:rPr>
        <w:t>The</w:t>
      </w:r>
      <w:r>
        <w:rPr>
          <w:noProof/>
        </w:rPr>
        <w:t xml:space="preserve"> </w:t>
      </w:r>
      <w:r w:rsidR="00CF491D">
        <w:rPr>
          <w:noProof/>
        </w:rPr>
        <w:t xml:space="preserve"> following aspects is the </w:t>
      </w:r>
      <w:r w:rsidR="00517510">
        <w:rPr>
          <w:noProof/>
        </w:rPr>
        <w:t>background</w:t>
      </w:r>
      <w:r w:rsidR="00A63E97">
        <w:rPr>
          <w:noProof/>
        </w:rPr>
        <w:t xml:space="preserve"> </w:t>
      </w:r>
      <w:r w:rsidR="00CF491D">
        <w:rPr>
          <w:noProof/>
        </w:rPr>
        <w:t>of analysis in the discussion paper.</w:t>
      </w:r>
    </w:p>
    <w:p w14:paraId="023A15FE" w14:textId="11AC9C80" w:rsidR="004A1D00" w:rsidRDefault="00A63E97" w:rsidP="00A63E97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wo </w:t>
      </w:r>
      <w:r w:rsidRPr="00730AC5">
        <w:rPr>
          <w:highlight w:val="yellow"/>
        </w:rPr>
        <w:t>traffic types</w:t>
      </w:r>
      <w:r>
        <w:t xml:space="preserve"> for Ambient IoT devices</w:t>
      </w:r>
      <w:r w:rsidR="00CF491D">
        <w:t xml:space="preserve"> as </w:t>
      </w:r>
      <w:r w:rsidR="00CF491D">
        <w:rPr>
          <w:noProof/>
        </w:rPr>
        <w:t xml:space="preserve">defined in </w:t>
      </w:r>
      <w:r w:rsidR="00CF491D" w:rsidRPr="00EB14CD">
        <w:rPr>
          <w:noProof/>
        </w:rPr>
        <w:t>T</w:t>
      </w:r>
      <w:r w:rsidR="00CF491D">
        <w:rPr>
          <w:noProof/>
        </w:rPr>
        <w:t>R</w:t>
      </w:r>
      <w:r w:rsidR="00CF491D">
        <w:t> </w:t>
      </w:r>
      <w:r w:rsidR="00CF491D">
        <w:rPr>
          <w:noProof/>
        </w:rPr>
        <w:t>23.700-13</w:t>
      </w:r>
      <w:r w:rsidR="00CF491D">
        <w:t> </w:t>
      </w:r>
      <w:r w:rsidR="00CF491D">
        <w:rPr>
          <w:noProof/>
        </w:rPr>
        <w:t>[3] clause 4.1</w:t>
      </w:r>
      <w:r>
        <w:t xml:space="preserve">: </w:t>
      </w:r>
    </w:p>
    <w:p w14:paraId="423BD36A" w14:textId="05AB5A93" w:rsidR="004A1D00" w:rsidRDefault="004A1D00" w:rsidP="004A1D00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63E97">
        <w:rPr>
          <w:lang w:eastAsia="zh-CN"/>
        </w:rPr>
        <w:t xml:space="preserve">Device-terminated </w:t>
      </w:r>
      <w:r>
        <w:rPr>
          <w:lang w:eastAsia="zh-CN"/>
        </w:rPr>
        <w:t xml:space="preserve">(DT), </w:t>
      </w:r>
      <w:r w:rsidR="00A63E97">
        <w:rPr>
          <w:lang w:eastAsia="zh-CN"/>
        </w:rPr>
        <w:t xml:space="preserve">e.g. DL traffic from </w:t>
      </w:r>
      <w:r w:rsidR="00BF6BDB">
        <w:rPr>
          <w:lang w:eastAsia="zh-CN"/>
        </w:rPr>
        <w:t xml:space="preserve">CN </w:t>
      </w:r>
      <w:r w:rsidR="00A63E97">
        <w:rPr>
          <w:lang w:eastAsia="zh-CN"/>
        </w:rPr>
        <w:t>to Ambient IoT device)</w:t>
      </w:r>
      <w:r>
        <w:rPr>
          <w:lang w:eastAsia="zh-CN"/>
        </w:rPr>
        <w:t>;</w:t>
      </w:r>
    </w:p>
    <w:p w14:paraId="56D79821" w14:textId="37214EBC" w:rsidR="00A63E97" w:rsidRDefault="004A1D00" w:rsidP="004A1D00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63E97">
        <w:rPr>
          <w:lang w:eastAsia="zh-CN"/>
        </w:rPr>
        <w:t>Device-originated – device-terminated triggered</w:t>
      </w:r>
      <w:r>
        <w:rPr>
          <w:lang w:eastAsia="zh-CN"/>
        </w:rPr>
        <w:t xml:space="preserve"> (DO-DTT), </w:t>
      </w:r>
      <w:r w:rsidR="00A63E97">
        <w:rPr>
          <w:lang w:eastAsia="zh-CN"/>
        </w:rPr>
        <w:t xml:space="preserve">e.g. </w:t>
      </w:r>
      <w:r w:rsidR="00BF6BDB">
        <w:rPr>
          <w:lang w:eastAsia="zh-CN"/>
        </w:rPr>
        <w:t xml:space="preserve">UL traffic from Ambient IoT device to </w:t>
      </w:r>
      <w:r>
        <w:rPr>
          <w:lang w:eastAsia="zh-CN"/>
        </w:rPr>
        <w:t>CN</w:t>
      </w:r>
      <w:r w:rsidR="00BF6BDB">
        <w:rPr>
          <w:lang w:eastAsia="zh-CN"/>
        </w:rPr>
        <w:t xml:space="preserve">, without CN </w:t>
      </w:r>
      <w:r>
        <w:rPr>
          <w:lang w:eastAsia="zh-CN"/>
        </w:rPr>
        <w:t>sending traffic to device.</w:t>
      </w:r>
    </w:p>
    <w:p w14:paraId="66A248D3" w14:textId="34499A83" w:rsidR="004A1D00" w:rsidRDefault="004A1D00" w:rsidP="00A63E97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 xml:space="preserve">Two </w:t>
      </w:r>
      <w:r w:rsidRPr="00780C5A">
        <w:t xml:space="preserve">connectivity </w:t>
      </w:r>
      <w:r w:rsidRPr="00730AC5">
        <w:rPr>
          <w:highlight w:val="yellow"/>
        </w:rPr>
        <w:t>topologies</w:t>
      </w:r>
      <w:r w:rsidR="002E4130">
        <w:t xml:space="preserve"> </w:t>
      </w:r>
      <w:r w:rsidR="002E4130">
        <w:rPr>
          <w:rFonts w:hint="eastAsia"/>
          <w:lang w:eastAsia="zh-CN"/>
        </w:rPr>
        <w:t>as</w:t>
      </w:r>
      <w:r w:rsidR="002E4130">
        <w:t xml:space="preserve"> defined in </w:t>
      </w:r>
      <w:r w:rsidR="00E8522C" w:rsidRPr="00780C5A">
        <w:t>TR</w:t>
      </w:r>
      <w:r w:rsidR="00E8522C">
        <w:t> </w:t>
      </w:r>
      <w:r w:rsidR="00E8522C" w:rsidRPr="00780C5A">
        <w:t>38.848</w:t>
      </w:r>
      <w:r w:rsidR="00E8522C">
        <w:t> </w:t>
      </w:r>
      <w:r w:rsidR="00E8522C" w:rsidRPr="00780C5A">
        <w:t>[</w:t>
      </w:r>
      <w:r w:rsidR="00F0711A">
        <w:t>4]</w:t>
      </w:r>
      <w:r>
        <w:t xml:space="preserve">: </w:t>
      </w:r>
    </w:p>
    <w:p w14:paraId="052F98E5" w14:textId="6146F733" w:rsidR="004A1D00" w:rsidRPr="00780C5A" w:rsidRDefault="004A1D00" w:rsidP="004A1D00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>Topology 1</w:t>
      </w:r>
      <w:r w:rsidR="006E4FCC">
        <w:t xml:space="preserve"> (Figure 1)</w:t>
      </w:r>
      <w:r w:rsidRPr="00780C5A">
        <w:t xml:space="preserve">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0E0938A0" w14:textId="49A9C7A0" w:rsidR="004A1D00" w:rsidRDefault="004A1D00" w:rsidP="004A1D00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>Topology 2</w:t>
      </w:r>
      <w:r w:rsidR="006E4FCC">
        <w:t xml:space="preserve"> (Figure 2)</w:t>
      </w:r>
      <w:r w:rsidRPr="00780C5A">
        <w:t xml:space="preserve">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  <w:lang w:eastAsia="ja-JP"/>
        </w:rPr>
        <w:t>under</w:t>
      </w:r>
      <w:r w:rsidRPr="00780C5A">
        <w:t xml:space="preserve"> the</w:t>
      </w:r>
      <w:r w:rsidRPr="00780C5A">
        <w:rPr>
          <w:rFonts w:eastAsia="Malgun Gothic"/>
          <w:lang w:eastAsia="ja-JP"/>
        </w:rPr>
        <w:t xml:space="preserve"> network control</w:t>
      </w:r>
      <w:r w:rsidRPr="00780C5A">
        <w:t>.</w:t>
      </w:r>
    </w:p>
    <w:p w14:paraId="6ACAD95A" w14:textId="07A48F44" w:rsidR="00F36F87" w:rsidRDefault="00F36F87" w:rsidP="00F36F87"/>
    <w:tbl>
      <w:tblPr>
        <w:tblStyle w:val="aff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36F87" w14:paraId="41D23EC8" w14:textId="77777777" w:rsidTr="00F36F87">
        <w:tc>
          <w:tcPr>
            <w:tcW w:w="4814" w:type="dxa"/>
          </w:tcPr>
          <w:p w14:paraId="2C1115AC" w14:textId="77777777" w:rsidR="00F36F87" w:rsidRPr="00206426" w:rsidRDefault="00F36F87" w:rsidP="00F36F87">
            <w:pPr>
              <w:pStyle w:val="TH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10E38BD5" wp14:editId="04782C18">
                  <wp:extent cx="1876567" cy="1293556"/>
                  <wp:effectExtent l="0" t="0" r="0" b="1905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38" cy="1303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97625A" w14:textId="26792740" w:rsidR="00F36F87" w:rsidRDefault="00F36F87" w:rsidP="00F36F87">
            <w:pPr>
              <w:pStyle w:val="TF"/>
            </w:pPr>
            <w:r w:rsidRPr="00206426">
              <w:t xml:space="preserve">Figure </w:t>
            </w:r>
            <w:r>
              <w:t>1</w:t>
            </w:r>
            <w:r w:rsidRPr="00206426">
              <w:t>: Topology 1</w:t>
            </w:r>
          </w:p>
        </w:tc>
        <w:tc>
          <w:tcPr>
            <w:tcW w:w="4815" w:type="dxa"/>
          </w:tcPr>
          <w:p w14:paraId="5CE7E7C5" w14:textId="77777777" w:rsidR="00F36F87" w:rsidRPr="00206426" w:rsidRDefault="00F36F87" w:rsidP="00F36F87">
            <w:pPr>
              <w:pStyle w:val="TH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48AF761C" wp14:editId="0E52F720">
                  <wp:extent cx="2538483" cy="1251613"/>
                  <wp:effectExtent l="0" t="0" r="0" b="5715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1441" cy="1262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A4E42C" w14:textId="1FDF5022" w:rsidR="00F36F87" w:rsidRDefault="00F36F87" w:rsidP="00F36F87">
            <w:pPr>
              <w:pStyle w:val="TF"/>
            </w:pPr>
            <w:r w:rsidRPr="00206426">
              <w:t xml:space="preserve">Figure </w:t>
            </w:r>
            <w:r>
              <w:t>2</w:t>
            </w:r>
            <w:r w:rsidRPr="00206426">
              <w:t>: Topology 2</w:t>
            </w:r>
          </w:p>
        </w:tc>
      </w:tr>
    </w:tbl>
    <w:p w14:paraId="59D8C452" w14:textId="00482548" w:rsidR="002E4130" w:rsidRDefault="002E4130" w:rsidP="00F36F87"/>
    <w:p w14:paraId="374C95B4" w14:textId="7E5D5BA6" w:rsidR="00F74EC3" w:rsidRPr="00B3613D" w:rsidRDefault="00B3613D" w:rsidP="00F36F87">
      <w:pPr>
        <w:pStyle w:val="40"/>
      </w:pPr>
      <w:r w:rsidRPr="00E1285D">
        <w:t>3.</w:t>
      </w:r>
      <w:r w:rsidR="00D36C64">
        <w:t>3</w:t>
      </w:r>
      <w:r w:rsidRPr="00E1285D">
        <w:tab/>
      </w:r>
      <w:r w:rsidRPr="00E1285D">
        <w:tab/>
      </w:r>
      <w:r w:rsidRPr="00E1285D">
        <w:tab/>
      </w:r>
      <w:r w:rsidR="00C03D0B">
        <w:t>B</w:t>
      </w:r>
      <w:r w:rsidR="006C0F5E">
        <w:t xml:space="preserve">usiness </w:t>
      </w:r>
      <w:r w:rsidR="002F48E7">
        <w:t>role</w:t>
      </w:r>
      <w:r w:rsidR="00076067">
        <w:t>s</w:t>
      </w:r>
    </w:p>
    <w:p w14:paraId="7880B82D" w14:textId="57F741E3" w:rsidR="00B8652D" w:rsidRDefault="00B8652D" w:rsidP="00B8652D">
      <w:r>
        <w:t xml:space="preserve">Using </w:t>
      </w:r>
      <w:r w:rsidR="007F7A57">
        <w:t xml:space="preserve">the </w:t>
      </w:r>
      <w:r>
        <w:t>inventory use case as an example, there are</w:t>
      </w:r>
      <w:r w:rsidR="00E25499">
        <w:t xml:space="preserve"> four</w:t>
      </w:r>
      <w:r>
        <w:t xml:space="preserve"> key business roles:</w:t>
      </w:r>
    </w:p>
    <w:p w14:paraId="2D429A7C" w14:textId="1AC35065" w:rsidR="00B8652D" w:rsidRDefault="00B8652D" w:rsidP="00B8652D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</w:r>
      <w:r w:rsidRPr="00730AC5">
        <w:rPr>
          <w:b/>
        </w:rPr>
        <w:t>Telecom operator</w:t>
      </w:r>
      <w:r w:rsidR="00E25499">
        <w:t xml:space="preserve"> may</w:t>
      </w:r>
      <w:r>
        <w:t xml:space="preserve"> provide the </w:t>
      </w:r>
      <w:r w:rsidR="00CB660E">
        <w:t>communication</w:t>
      </w:r>
      <w:r>
        <w:t xml:space="preserve"> infrastructure </w:t>
      </w:r>
      <w:r w:rsidR="007F7A57">
        <w:t xml:space="preserve">(e.g. </w:t>
      </w:r>
      <w:r w:rsidR="00CB660E">
        <w:t xml:space="preserve">licensed </w:t>
      </w:r>
      <w:r w:rsidR="00CB660E">
        <w:rPr>
          <w:lang w:val="en-US"/>
        </w:rPr>
        <w:t>communication spectrum</w:t>
      </w:r>
      <w:r w:rsidR="00CB660E">
        <w:t xml:space="preserve">, </w:t>
      </w:r>
      <w:r w:rsidR="007F7A57">
        <w:t>BS Reader, 5G network</w:t>
      </w:r>
      <w:r w:rsidR="00CB660E">
        <w:t xml:space="preserve"> equipment</w:t>
      </w:r>
      <w:r w:rsidR="000778D5">
        <w:t>, Ambient IoT devices</w:t>
      </w:r>
      <w:r w:rsidR="007F7A57">
        <w:t>)</w:t>
      </w:r>
      <w:r w:rsidR="00E25499">
        <w:t>,</w:t>
      </w:r>
      <w:r>
        <w:t xml:space="preserve"> </w:t>
      </w:r>
      <w:r w:rsidR="00E25499">
        <w:t>offer</w:t>
      </w:r>
      <w:r w:rsidR="007F7A57">
        <w:t xml:space="preserve"> the Ambient IoT </w:t>
      </w:r>
      <w:r>
        <w:t>services</w:t>
      </w:r>
      <w:r w:rsidR="007F7A57">
        <w:t xml:space="preserve"> (e.g. inventory)</w:t>
      </w:r>
      <w:r w:rsidR="00E25499">
        <w:t>, and manage the Ambient IoT devices (e.g. subscription, authorization).</w:t>
      </w:r>
      <w:r w:rsidR="00DE51EB">
        <w:t xml:space="preserve"> </w:t>
      </w:r>
    </w:p>
    <w:p w14:paraId="6090E3CB" w14:textId="5E9E56CD" w:rsidR="007F7A57" w:rsidRDefault="007F7A57" w:rsidP="00B8652D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-</w:t>
      </w:r>
      <w:r>
        <w:tab/>
      </w:r>
      <w:r w:rsidRPr="00730AC5">
        <w:rPr>
          <w:b/>
        </w:rPr>
        <w:t>Third party</w:t>
      </w:r>
      <w:r>
        <w:t xml:space="preserve"> (e.g. </w:t>
      </w:r>
      <w:r>
        <w:rPr>
          <w:lang w:val="en-US"/>
        </w:rPr>
        <w:t xml:space="preserve">warehouse </w:t>
      </w:r>
      <w:r>
        <w:rPr>
          <w:rFonts w:hint="eastAsia"/>
          <w:lang w:val="en-US"/>
        </w:rPr>
        <w:t>management platform</w:t>
      </w:r>
      <w:r>
        <w:rPr>
          <w:lang w:val="en-US"/>
        </w:rPr>
        <w:t>) subscribe</w:t>
      </w:r>
      <w:r w:rsidR="002F0029">
        <w:rPr>
          <w:lang w:val="en-US"/>
        </w:rPr>
        <w:t>s</w:t>
      </w:r>
      <w:r>
        <w:rPr>
          <w:lang w:val="en-US"/>
        </w:rPr>
        <w:t xml:space="preserve"> to the Ambient IoT services</w:t>
      </w:r>
      <w:r w:rsidR="002F0029">
        <w:rPr>
          <w:lang w:val="en-US"/>
        </w:rPr>
        <w:t xml:space="preserve"> </w:t>
      </w:r>
      <w:r w:rsidR="002F0029">
        <w:rPr>
          <w:rFonts w:hint="eastAsia"/>
          <w:lang w:val="en-US"/>
        </w:rPr>
        <w:t>and could interact with the 5G network</w:t>
      </w:r>
      <w:r w:rsidR="002F0029">
        <w:rPr>
          <w:rFonts w:hint="eastAsia"/>
          <w:lang w:val="en-US" w:eastAsia="zh-CN"/>
        </w:rPr>
        <w:t xml:space="preserve"> with necessary inventory information</w:t>
      </w:r>
      <w:r w:rsidR="002F0029">
        <w:rPr>
          <w:lang w:val="en-US"/>
        </w:rPr>
        <w:t>.</w:t>
      </w:r>
    </w:p>
    <w:p w14:paraId="78E8D6FA" w14:textId="1E015632" w:rsidR="002F0029" w:rsidRDefault="002F0029" w:rsidP="002F002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-</w:t>
      </w:r>
      <w:r>
        <w:tab/>
      </w:r>
      <w:r w:rsidRPr="00730AC5">
        <w:rPr>
          <w:b/>
        </w:rPr>
        <w:t>Ambient IoT device</w:t>
      </w:r>
      <w:r w:rsidR="007A4F08">
        <w:rPr>
          <w:b/>
        </w:rPr>
        <w:t xml:space="preserve"> provider</w:t>
      </w:r>
      <w:r>
        <w:t xml:space="preserve"> </w:t>
      </w:r>
      <w:r w:rsidR="00DE5385">
        <w:t>offer</w:t>
      </w:r>
      <w:r w:rsidR="00CA3FE3">
        <w:t>s</w:t>
      </w:r>
      <w:r w:rsidR="00DE5385">
        <w:t xml:space="preserve"> Ambient IoT devices that </w:t>
      </w:r>
      <w:r>
        <w:rPr>
          <w:rFonts w:hint="eastAsia"/>
          <w:lang w:val="en-US"/>
        </w:rPr>
        <w:t>contain the assigned information</w:t>
      </w:r>
      <w:r>
        <w:rPr>
          <w:lang w:val="en-US"/>
        </w:rPr>
        <w:t>,</w:t>
      </w:r>
      <w:r w:rsidDel="00DF0AE4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which can be read and written by the 5G network</w:t>
      </w:r>
      <w:r>
        <w:rPr>
          <w:lang w:val="en-US"/>
        </w:rPr>
        <w:t>, get attached to different w</w:t>
      </w:r>
      <w:r>
        <w:rPr>
          <w:rFonts w:hint="eastAsia"/>
          <w:lang w:val="en-US"/>
        </w:rPr>
        <w:t>arehouse</w:t>
      </w:r>
      <w:r>
        <w:rPr>
          <w:lang w:val="en-US"/>
        </w:rPr>
        <w:t xml:space="preserve"> items, such as pallet containers, storage racks, forklift and individual product. </w:t>
      </w:r>
    </w:p>
    <w:p w14:paraId="07CB8E2A" w14:textId="49E62AB6" w:rsidR="00E25499" w:rsidRPr="002F0029" w:rsidRDefault="00E25499" w:rsidP="002F002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30AC5">
        <w:rPr>
          <w:b/>
          <w:lang w:val="en-US"/>
        </w:rPr>
        <w:t>UE reader</w:t>
      </w:r>
      <w:r>
        <w:rPr>
          <w:lang w:val="en-US"/>
        </w:rPr>
        <w:t xml:space="preserve"> </w:t>
      </w:r>
      <w:r w:rsidR="007A4F08" w:rsidRPr="007A4F08">
        <w:rPr>
          <w:b/>
          <w:lang w:val="en-US"/>
        </w:rPr>
        <w:t>provider</w:t>
      </w:r>
      <w:r w:rsidR="007A4F08">
        <w:rPr>
          <w:lang w:val="en-US"/>
        </w:rPr>
        <w:t xml:space="preserve"> </w:t>
      </w:r>
      <w:r w:rsidR="00DE5385">
        <w:rPr>
          <w:lang w:val="en-US"/>
        </w:rPr>
        <w:t>offer</w:t>
      </w:r>
      <w:r w:rsidR="00CA3FE3">
        <w:rPr>
          <w:lang w:val="en-US"/>
        </w:rPr>
        <w:t>s</w:t>
      </w:r>
      <w:r w:rsidR="00DE5385">
        <w:rPr>
          <w:lang w:val="en-US"/>
        </w:rPr>
        <w:t xml:space="preserve"> Ambient IoT capable UE, </w:t>
      </w:r>
      <w:r>
        <w:rPr>
          <w:lang w:val="en-US"/>
        </w:rPr>
        <w:t>act</w:t>
      </w:r>
      <w:r w:rsidR="00DE5385">
        <w:rPr>
          <w:lang w:val="en-US"/>
        </w:rPr>
        <w:t>ing</w:t>
      </w:r>
      <w:r>
        <w:rPr>
          <w:lang w:val="en-US"/>
        </w:rPr>
        <w:t xml:space="preserve"> as the intermediate node between BS and Ambient IoT devices, which </w:t>
      </w:r>
      <w:r w:rsidR="00DE5385">
        <w:rPr>
          <w:lang w:val="en-US"/>
        </w:rPr>
        <w:t xml:space="preserve">is </w:t>
      </w:r>
      <w:r>
        <w:rPr>
          <w:lang w:val="en-US"/>
        </w:rPr>
        <w:t xml:space="preserve">only applicable to connectivity topology 2. </w:t>
      </w:r>
    </w:p>
    <w:p w14:paraId="65EB6972" w14:textId="39ECBB9C" w:rsidR="00DE51EB" w:rsidRDefault="00DE51EB" w:rsidP="00B8652D">
      <w:r>
        <w:t>The Ambient IoT device</w:t>
      </w:r>
      <w:r w:rsidR="00DE5385">
        <w:t xml:space="preserve"> provider</w:t>
      </w:r>
      <w:r>
        <w:t xml:space="preserve"> and UE reader</w:t>
      </w:r>
      <w:r w:rsidR="00DE5385">
        <w:t xml:space="preserve"> provider</w:t>
      </w:r>
      <w:r>
        <w:t xml:space="preserve"> may be other party which are not considered in this discussion.</w:t>
      </w:r>
    </w:p>
    <w:p w14:paraId="0830011E" w14:textId="25AAE130" w:rsidR="00C03D0B" w:rsidRDefault="00C03D0B" w:rsidP="00C03D0B">
      <w:pPr>
        <w:pStyle w:val="40"/>
      </w:pPr>
      <w:r w:rsidRPr="00E1285D">
        <w:t>3.</w:t>
      </w:r>
      <w:r w:rsidR="00CA3FE3">
        <w:t>4</w:t>
      </w:r>
      <w:r w:rsidRPr="00E1285D">
        <w:tab/>
      </w:r>
      <w:r w:rsidRPr="00E1285D">
        <w:tab/>
      </w:r>
      <w:r w:rsidRPr="00E1285D">
        <w:tab/>
      </w:r>
      <w:r w:rsidR="002F48E7">
        <w:t>B</w:t>
      </w:r>
      <w:r>
        <w:t>usiness models</w:t>
      </w:r>
    </w:p>
    <w:p w14:paraId="5C80A694" w14:textId="0B2357C9" w:rsidR="00B3613D" w:rsidRDefault="00B8652D" w:rsidP="00B8652D">
      <w:r>
        <w:t>A telecom o</w:t>
      </w:r>
      <w:r w:rsidR="002F0886" w:rsidRPr="00B8652D">
        <w:t>per</w:t>
      </w:r>
      <w:r>
        <w:t xml:space="preserve">ator may monetize from Ambient IoT in </w:t>
      </w:r>
      <w:r w:rsidR="00FF658D">
        <w:t xml:space="preserve">different </w:t>
      </w:r>
      <w:r w:rsidR="00CB660E">
        <w:t>ways</w:t>
      </w:r>
      <w:r w:rsidR="00FF658D">
        <w:t>, including but not limiting to the following examples</w:t>
      </w:r>
      <w:r>
        <w:t>:</w:t>
      </w:r>
    </w:p>
    <w:p w14:paraId="761C480B" w14:textId="5505B08E" w:rsidR="00CB660E" w:rsidRDefault="00B8652D" w:rsidP="00B8652D">
      <w:r w:rsidRPr="00D87DDE">
        <w:rPr>
          <w:b/>
          <w:u w:val="single"/>
        </w:rPr>
        <w:t>Business model</w:t>
      </w:r>
      <w:r w:rsidR="00F73764" w:rsidRPr="00D87DDE">
        <w:rPr>
          <w:b/>
          <w:u w:val="single"/>
        </w:rPr>
        <w:t>-</w:t>
      </w:r>
      <w:r w:rsidRPr="00D87DDE">
        <w:rPr>
          <w:b/>
          <w:u w:val="single"/>
        </w:rPr>
        <w:t>A</w:t>
      </w:r>
      <w:r w:rsidRPr="00D87DDE">
        <w:rPr>
          <w:b/>
        </w:rPr>
        <w:t>:</w:t>
      </w:r>
      <w:r>
        <w:t xml:space="preserve"> Telecom operator may offer one-time purchase or subscription-based option for third party</w:t>
      </w:r>
      <w:r w:rsidR="00CB660E">
        <w:t xml:space="preserve"> to provide the </w:t>
      </w:r>
      <w:r>
        <w:t>Ambient IoT infrastructure</w:t>
      </w:r>
      <w:r w:rsidR="00CB660E">
        <w:t xml:space="preserve">, e.g. licensed </w:t>
      </w:r>
      <w:r w:rsidR="00CB660E">
        <w:rPr>
          <w:lang w:val="en-US"/>
        </w:rPr>
        <w:t>communication spectrum</w:t>
      </w:r>
      <w:r w:rsidR="00CB660E">
        <w:t xml:space="preserve">, </w:t>
      </w:r>
      <w:r w:rsidR="000778D5">
        <w:t xml:space="preserve">BS Reader, 5G network equipment, </w:t>
      </w:r>
      <w:r w:rsidR="00CB660E">
        <w:t xml:space="preserve">Ambient IoT devices. The charging solution for this business model is out of 3GPP scope. </w:t>
      </w:r>
    </w:p>
    <w:p w14:paraId="5F5CFBB8" w14:textId="55B55744" w:rsidR="00CB660E" w:rsidRDefault="00CB660E" w:rsidP="00B8652D">
      <w:r w:rsidRPr="00D87DDE">
        <w:rPr>
          <w:b/>
          <w:highlight w:val="yellow"/>
          <w:u w:val="single"/>
        </w:rPr>
        <w:lastRenderedPageBreak/>
        <w:t>Business model</w:t>
      </w:r>
      <w:r w:rsidR="00F73764" w:rsidRPr="00D87DDE">
        <w:rPr>
          <w:b/>
          <w:highlight w:val="yellow"/>
          <w:u w:val="single"/>
        </w:rPr>
        <w:t>-</w:t>
      </w:r>
      <w:r w:rsidRPr="00D87DDE">
        <w:rPr>
          <w:b/>
          <w:highlight w:val="yellow"/>
          <w:u w:val="single"/>
        </w:rPr>
        <w:t>B</w:t>
      </w:r>
      <w:r w:rsidRPr="00D87DDE">
        <w:rPr>
          <w:b/>
          <w:highlight w:val="yellow"/>
        </w:rPr>
        <w:t>:</w:t>
      </w:r>
      <w:r>
        <w:t xml:space="preserve"> </w:t>
      </w:r>
      <w:r w:rsidR="000778D5">
        <w:t xml:space="preserve">Telecom operator may offer </w:t>
      </w:r>
      <w:r w:rsidR="009024B8">
        <w:t>charging</w:t>
      </w:r>
      <w:r w:rsidR="000778D5">
        <w:t xml:space="preserve"> for invoking Ambient IoT services. The third party may be charged by operator based on the number of service invocation</w:t>
      </w:r>
      <w:r w:rsidR="00726B04">
        <w:t xml:space="preserve">s, and possibly differentiated by service type (e.g. inventory, command) or coverage area information (e.g. size and location of the warehouse). </w:t>
      </w:r>
    </w:p>
    <w:p w14:paraId="77C42695" w14:textId="28E1A013" w:rsidR="00726B04" w:rsidRDefault="00726B04" w:rsidP="00B8652D">
      <w:r w:rsidRPr="00D87DDE">
        <w:rPr>
          <w:b/>
          <w:u w:val="single"/>
        </w:rPr>
        <w:t>Business model</w:t>
      </w:r>
      <w:r w:rsidR="00F73764" w:rsidRPr="00D87DDE">
        <w:rPr>
          <w:b/>
          <w:u w:val="single"/>
        </w:rPr>
        <w:t>-</w:t>
      </w:r>
      <w:r w:rsidRPr="00D87DDE">
        <w:rPr>
          <w:b/>
          <w:u w:val="single"/>
        </w:rPr>
        <w:t>C</w:t>
      </w:r>
      <w:r w:rsidRPr="00D87DDE">
        <w:rPr>
          <w:b/>
        </w:rPr>
        <w:t>:</w:t>
      </w:r>
      <w:r>
        <w:t xml:space="preserve"> Telecom operator may offer </w:t>
      </w:r>
      <w:r w:rsidR="009024B8">
        <w:t>charging</w:t>
      </w:r>
      <w:r>
        <w:t xml:space="preserve"> for managing Ambient IoT devices (e.g. device subscription/activation/</w:t>
      </w:r>
      <w:r>
        <w:rPr>
          <w:lang w:eastAsia="zh-CN"/>
        </w:rPr>
        <w:t>authorization</w:t>
      </w:r>
      <w:r>
        <w:t>). The third party may be charged by operator based on the number of Ambient IoT devices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and possibly differentiated by device type</w:t>
      </w:r>
      <w:r w:rsidR="005B4358">
        <w:t xml:space="preserve"> (e.g. type A</w:t>
      </w:r>
      <w:r w:rsidR="005B4358">
        <w:rPr>
          <w:rFonts w:hint="eastAsia"/>
          <w:lang w:eastAsia="zh-CN"/>
        </w:rPr>
        <w:t>/</w:t>
      </w:r>
      <w:r w:rsidR="005B4358">
        <w:t>B)</w:t>
      </w:r>
      <w:r>
        <w:t xml:space="preserve"> or management duration (e.g. weekly, monthly).</w:t>
      </w:r>
    </w:p>
    <w:p w14:paraId="6006373B" w14:textId="72C6C09B" w:rsidR="004E537A" w:rsidRDefault="00FF658D" w:rsidP="00FF658D">
      <w:r w:rsidRPr="00D87DDE">
        <w:rPr>
          <w:b/>
          <w:u w:val="single"/>
        </w:rPr>
        <w:t>Business model</w:t>
      </w:r>
      <w:r w:rsidR="00F73764" w:rsidRPr="00D87DDE">
        <w:rPr>
          <w:b/>
          <w:u w:val="single"/>
        </w:rPr>
        <w:t>-</w:t>
      </w:r>
      <w:r w:rsidRPr="00D87DDE">
        <w:rPr>
          <w:b/>
          <w:u w:val="single"/>
        </w:rPr>
        <w:t>D</w:t>
      </w:r>
      <w:r w:rsidRPr="00D87DDE">
        <w:rPr>
          <w:b/>
        </w:rPr>
        <w:t>:</w:t>
      </w:r>
      <w:r>
        <w:t xml:space="preserve"> Telecom operator may offer</w:t>
      </w:r>
      <w:r w:rsidR="009024B8">
        <w:t xml:space="preserve"> charging</w:t>
      </w:r>
      <w:r>
        <w:t xml:space="preserve"> for managing Ambient IoT </w:t>
      </w:r>
      <w:r w:rsidR="00BA7377">
        <w:t xml:space="preserve">capable UE </w:t>
      </w:r>
      <w:r w:rsidR="00781AF5">
        <w:t>r</w:t>
      </w:r>
      <w:r w:rsidR="00BA7377">
        <w:t>eaders</w:t>
      </w:r>
      <w:r>
        <w:t xml:space="preserve"> (e.g. subscription/</w:t>
      </w:r>
      <w:r w:rsidR="00781AF5">
        <w:t>access/</w:t>
      </w:r>
      <w:r>
        <w:rPr>
          <w:lang w:eastAsia="zh-CN"/>
        </w:rPr>
        <w:t>authorization</w:t>
      </w:r>
      <w:r>
        <w:t xml:space="preserve">). The third party may be charged by operator based on the </w:t>
      </w:r>
      <w:r w:rsidR="00781AF5">
        <w:t>network resources consumed by the UE readers</w:t>
      </w:r>
      <w:r>
        <w:t>.</w:t>
      </w:r>
    </w:p>
    <w:p w14:paraId="05BAE109" w14:textId="278DA9EF" w:rsidR="007C29B1" w:rsidRDefault="007C29B1" w:rsidP="00F36F87">
      <w:pPr>
        <w:pStyle w:val="40"/>
      </w:pPr>
      <w:r w:rsidRPr="00E1285D">
        <w:t>3.</w:t>
      </w:r>
      <w:r w:rsidR="00CA3FE3">
        <w:t>5</w:t>
      </w:r>
      <w:r w:rsidRPr="00E1285D">
        <w:tab/>
      </w:r>
      <w:r w:rsidRPr="00E1285D">
        <w:tab/>
      </w:r>
      <w:r w:rsidRPr="00E1285D">
        <w:tab/>
      </w:r>
      <w:r>
        <w:t>Proposed way forward</w:t>
      </w:r>
    </w:p>
    <w:p w14:paraId="392E924F" w14:textId="1FE2D149" w:rsidR="00F73764" w:rsidRDefault="00F73764" w:rsidP="00F73764">
      <w:r>
        <w:rPr>
          <w:lang w:eastAsia="zh-CN"/>
        </w:rPr>
        <w:t xml:space="preserve">In the above analysed business models, </w:t>
      </w:r>
      <w:r>
        <w:t>the business model-A is out of 3GPP scope, while the other three business models may require support from the 3GPP charging function.</w:t>
      </w:r>
    </w:p>
    <w:p w14:paraId="5B83A0A7" w14:textId="0FC1A1BB" w:rsidR="00F73764" w:rsidRDefault="00F73764" w:rsidP="00F73764">
      <w:r w:rsidRPr="0030306D">
        <w:rPr>
          <w:highlight w:val="yellow"/>
        </w:rPr>
        <w:t>For business model B, the current northbound exposure charging may be reused to support the API invocation-based charging, with potential enhancement</w:t>
      </w:r>
      <w:r w:rsidR="005311F8" w:rsidRPr="0030306D">
        <w:rPr>
          <w:highlight w:val="yellow"/>
        </w:rPr>
        <w:t>, which is ready for the normative work in the SA5 charging</w:t>
      </w:r>
      <w:r w:rsidR="007A4F08">
        <w:rPr>
          <w:highlight w:val="yellow"/>
        </w:rPr>
        <w:t>.</w:t>
      </w:r>
    </w:p>
    <w:p w14:paraId="02F926F2" w14:textId="3662BCF9" w:rsidR="00F73764" w:rsidRPr="009024B8" w:rsidRDefault="00F73764" w:rsidP="00F73764">
      <w:pPr>
        <w:rPr>
          <w:rFonts w:eastAsiaTheme="minorEastAsia"/>
          <w:lang w:val="en-US" w:eastAsia="zh-CN"/>
        </w:rPr>
      </w:pPr>
      <w:r>
        <w:t xml:space="preserve">For business model C, </w:t>
      </w:r>
      <w:r w:rsidR="00F0711A">
        <w:t xml:space="preserve">whether this scenario is applicable </w:t>
      </w:r>
      <w:r>
        <w:t xml:space="preserve">depends on the </w:t>
      </w:r>
      <w:r w:rsidR="009024B8">
        <w:rPr>
          <w:rFonts w:eastAsiaTheme="minorEastAsia"/>
          <w:lang w:val="en-US" w:eastAsia="zh-CN"/>
        </w:rPr>
        <w:t xml:space="preserve">5G </w:t>
      </w:r>
      <w:r>
        <w:rPr>
          <w:rFonts w:eastAsiaTheme="minorEastAsia"/>
          <w:lang w:val="en-US" w:eastAsia="zh-CN"/>
        </w:rPr>
        <w:t>core network function</w:t>
      </w:r>
      <w:r w:rsidR="009024B8">
        <w:rPr>
          <w:rFonts w:eastAsiaTheme="minorEastAsia"/>
          <w:lang w:val="en-US" w:eastAsia="zh-CN"/>
        </w:rPr>
        <w:t xml:space="preserve"> embedded CTF</w:t>
      </w:r>
      <w:r w:rsidR="008A1D39">
        <w:rPr>
          <w:rFonts w:eastAsiaTheme="minorEastAsia"/>
          <w:lang w:val="en-US" w:eastAsia="zh-CN"/>
        </w:rPr>
        <w:t xml:space="preserve"> </w:t>
      </w:r>
      <w:r w:rsidR="009024B8">
        <w:rPr>
          <w:rFonts w:eastAsiaTheme="minorEastAsia"/>
          <w:lang w:val="en-US" w:eastAsia="zh-CN"/>
        </w:rPr>
        <w:t>(Charging Trigger Function)</w:t>
      </w:r>
      <w:r>
        <w:rPr>
          <w:rFonts w:eastAsiaTheme="minorEastAsia"/>
          <w:lang w:val="en-US" w:eastAsia="zh-CN"/>
        </w:rPr>
        <w:t xml:space="preserve"> </w:t>
      </w:r>
      <w:r w:rsidR="009024B8">
        <w:rPr>
          <w:rFonts w:eastAsiaTheme="minorEastAsia"/>
          <w:lang w:val="en-US" w:eastAsia="zh-CN"/>
        </w:rPr>
        <w:t>to report the required charging information. The 5GS Architecture for Ambient-IoT should be</w:t>
      </w:r>
      <w:r>
        <w:t xml:space="preserve"> specified </w:t>
      </w:r>
      <w:r w:rsidR="009024B8">
        <w:t xml:space="preserve">in </w:t>
      </w:r>
      <w:r>
        <w:t xml:space="preserve">SA2, </w:t>
      </w:r>
      <w:r w:rsidR="00F0711A">
        <w:t xml:space="preserve">following the conclusion in clause 8.1.1 </w:t>
      </w:r>
      <w:r w:rsidR="00F0711A" w:rsidRPr="00EB14CD">
        <w:rPr>
          <w:noProof/>
        </w:rPr>
        <w:t>T</w:t>
      </w:r>
      <w:r w:rsidR="00F0711A">
        <w:rPr>
          <w:noProof/>
        </w:rPr>
        <w:t>R</w:t>
      </w:r>
      <w:r w:rsidR="00F0711A">
        <w:t> </w:t>
      </w:r>
      <w:r w:rsidR="00F0711A">
        <w:rPr>
          <w:noProof/>
        </w:rPr>
        <w:t>23.700-13</w:t>
      </w:r>
      <w:r w:rsidR="00F0711A">
        <w:t> </w:t>
      </w:r>
      <w:r w:rsidR="00F0711A">
        <w:rPr>
          <w:noProof/>
        </w:rPr>
        <w:t>[3]</w:t>
      </w:r>
      <w:r>
        <w:t xml:space="preserve">. </w:t>
      </w:r>
      <w:r w:rsidR="009024B8">
        <w:t xml:space="preserve"> SA5 will determine which 5GC NF is suitable for embedding the CTF.</w:t>
      </w:r>
    </w:p>
    <w:p w14:paraId="00CA9353" w14:textId="41952A6C" w:rsidR="005311F8" w:rsidRDefault="00F0711A" w:rsidP="00F0711A">
      <w:r>
        <w:t>For business model D, whether this scenario is applicable depends on the network architecture for topology 2 that is to be decided by SA2.</w:t>
      </w:r>
    </w:p>
    <w:p w14:paraId="143C4A01" w14:textId="25C2D05D" w:rsidR="00F0711A" w:rsidRPr="009024B8" w:rsidRDefault="009024B8" w:rsidP="00F0711A">
      <w:r>
        <w:t xml:space="preserve">SA5 Charging will keep alignment with SA2 </w:t>
      </w:r>
      <w:r w:rsidRPr="009024B8">
        <w:t>System Architecture and Services</w:t>
      </w:r>
      <w:r>
        <w:t xml:space="preserve"> in Rel</w:t>
      </w:r>
      <w:r w:rsidR="00703A34">
        <w:t>ease</w:t>
      </w:r>
      <w:r w:rsidR="00874C81">
        <w:t xml:space="preserve"> </w:t>
      </w:r>
      <w:r w:rsidR="005311F8">
        <w:t>19.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4CE49FD" w14:textId="02262C6A" w:rsidR="00F74EC3" w:rsidRDefault="00F74EC3" w:rsidP="00F74EC3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etailed </w:t>
      </w:r>
      <w:r>
        <w:t xml:space="preserve">proposals on the </w:t>
      </w:r>
      <w:r w:rsidR="00115A16">
        <w:t xml:space="preserve">new WID </w:t>
      </w:r>
      <w:r>
        <w:t xml:space="preserve">are present </w:t>
      </w:r>
      <w:r w:rsidR="00C608BF">
        <w:t>in this meeting</w:t>
      </w:r>
      <w:r>
        <w:rPr>
          <w:lang w:eastAsia="zh-CN"/>
        </w:rPr>
        <w:t>.</w:t>
      </w:r>
    </w:p>
    <w:p w14:paraId="46971631" w14:textId="7E44182B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5688E" w14:textId="77777777" w:rsidR="003B4B5D" w:rsidRDefault="003B4B5D">
      <w:r>
        <w:separator/>
      </w:r>
    </w:p>
  </w:endnote>
  <w:endnote w:type="continuationSeparator" w:id="0">
    <w:p w14:paraId="57B585DC" w14:textId="77777777" w:rsidR="003B4B5D" w:rsidRDefault="003B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57B7B" w14:textId="77777777" w:rsidR="003B4B5D" w:rsidRDefault="003B4B5D">
      <w:r>
        <w:separator/>
      </w:r>
    </w:p>
  </w:footnote>
  <w:footnote w:type="continuationSeparator" w:id="0">
    <w:p w14:paraId="4CFE0200" w14:textId="77777777" w:rsidR="003B4B5D" w:rsidRDefault="003B4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739"/>
    <w:rsid w:val="00022173"/>
    <w:rsid w:val="000230A3"/>
    <w:rsid w:val="00036B9D"/>
    <w:rsid w:val="00046389"/>
    <w:rsid w:val="00074722"/>
    <w:rsid w:val="00076067"/>
    <w:rsid w:val="000778D5"/>
    <w:rsid w:val="0008083D"/>
    <w:rsid w:val="000819D8"/>
    <w:rsid w:val="00085D0B"/>
    <w:rsid w:val="000934A6"/>
    <w:rsid w:val="00095401"/>
    <w:rsid w:val="000A2C6C"/>
    <w:rsid w:val="000A4660"/>
    <w:rsid w:val="000D1B5B"/>
    <w:rsid w:val="000E626A"/>
    <w:rsid w:val="000E7E5D"/>
    <w:rsid w:val="0010401F"/>
    <w:rsid w:val="00112FC3"/>
    <w:rsid w:val="00115A16"/>
    <w:rsid w:val="001343B4"/>
    <w:rsid w:val="00136F02"/>
    <w:rsid w:val="00140C3D"/>
    <w:rsid w:val="001463D4"/>
    <w:rsid w:val="00147E06"/>
    <w:rsid w:val="001529E1"/>
    <w:rsid w:val="001640D2"/>
    <w:rsid w:val="00173FA3"/>
    <w:rsid w:val="00184B6F"/>
    <w:rsid w:val="001861E5"/>
    <w:rsid w:val="001969DA"/>
    <w:rsid w:val="00197930"/>
    <w:rsid w:val="001A34A8"/>
    <w:rsid w:val="001A532E"/>
    <w:rsid w:val="001B1652"/>
    <w:rsid w:val="001C3EC8"/>
    <w:rsid w:val="001D2BD4"/>
    <w:rsid w:val="001D4258"/>
    <w:rsid w:val="001D6911"/>
    <w:rsid w:val="001E4833"/>
    <w:rsid w:val="001F36B7"/>
    <w:rsid w:val="001F6A38"/>
    <w:rsid w:val="00201947"/>
    <w:rsid w:val="00203933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2CC"/>
    <w:rsid w:val="00266700"/>
    <w:rsid w:val="00274477"/>
    <w:rsid w:val="002A1857"/>
    <w:rsid w:val="002A4724"/>
    <w:rsid w:val="002C7F38"/>
    <w:rsid w:val="002E4130"/>
    <w:rsid w:val="002F0029"/>
    <w:rsid w:val="002F0886"/>
    <w:rsid w:val="002F48E7"/>
    <w:rsid w:val="0030306D"/>
    <w:rsid w:val="0030628A"/>
    <w:rsid w:val="003069D8"/>
    <w:rsid w:val="00334BFB"/>
    <w:rsid w:val="00344E6F"/>
    <w:rsid w:val="0035122B"/>
    <w:rsid w:val="00353451"/>
    <w:rsid w:val="003535F9"/>
    <w:rsid w:val="003612BE"/>
    <w:rsid w:val="00365672"/>
    <w:rsid w:val="00371032"/>
    <w:rsid w:val="00371B44"/>
    <w:rsid w:val="0037477C"/>
    <w:rsid w:val="0037490F"/>
    <w:rsid w:val="003B4B5D"/>
    <w:rsid w:val="003C122B"/>
    <w:rsid w:val="003C271E"/>
    <w:rsid w:val="003C4713"/>
    <w:rsid w:val="003C5A97"/>
    <w:rsid w:val="003C7A04"/>
    <w:rsid w:val="003D546B"/>
    <w:rsid w:val="003F52B2"/>
    <w:rsid w:val="0041632F"/>
    <w:rsid w:val="00440414"/>
    <w:rsid w:val="00451595"/>
    <w:rsid w:val="004558E9"/>
    <w:rsid w:val="0045777E"/>
    <w:rsid w:val="004950AE"/>
    <w:rsid w:val="004A1D00"/>
    <w:rsid w:val="004B3753"/>
    <w:rsid w:val="004C31D2"/>
    <w:rsid w:val="004D0CBC"/>
    <w:rsid w:val="004D55C2"/>
    <w:rsid w:val="004E537A"/>
    <w:rsid w:val="004F5A0A"/>
    <w:rsid w:val="00517510"/>
    <w:rsid w:val="00521131"/>
    <w:rsid w:val="00525DDB"/>
    <w:rsid w:val="00527C0B"/>
    <w:rsid w:val="005303AF"/>
    <w:rsid w:val="005311F8"/>
    <w:rsid w:val="00532E35"/>
    <w:rsid w:val="005410F6"/>
    <w:rsid w:val="0055412D"/>
    <w:rsid w:val="005729C4"/>
    <w:rsid w:val="00577BC6"/>
    <w:rsid w:val="0059227B"/>
    <w:rsid w:val="00594D01"/>
    <w:rsid w:val="005B0966"/>
    <w:rsid w:val="005B4358"/>
    <w:rsid w:val="005B795D"/>
    <w:rsid w:val="005F17AC"/>
    <w:rsid w:val="00610508"/>
    <w:rsid w:val="00613820"/>
    <w:rsid w:val="006268F0"/>
    <w:rsid w:val="00645C90"/>
    <w:rsid w:val="00652248"/>
    <w:rsid w:val="00657B80"/>
    <w:rsid w:val="00674D8A"/>
    <w:rsid w:val="00675B3C"/>
    <w:rsid w:val="0069495C"/>
    <w:rsid w:val="006C0F5E"/>
    <w:rsid w:val="006D340A"/>
    <w:rsid w:val="006D7AAA"/>
    <w:rsid w:val="006E4FCC"/>
    <w:rsid w:val="00703A34"/>
    <w:rsid w:val="00715A1D"/>
    <w:rsid w:val="00726B04"/>
    <w:rsid w:val="00730AC5"/>
    <w:rsid w:val="00760BB0"/>
    <w:rsid w:val="0076157A"/>
    <w:rsid w:val="0077099A"/>
    <w:rsid w:val="007752D8"/>
    <w:rsid w:val="00781AF5"/>
    <w:rsid w:val="00784593"/>
    <w:rsid w:val="007A00EF"/>
    <w:rsid w:val="007A4F08"/>
    <w:rsid w:val="007B19EA"/>
    <w:rsid w:val="007C0461"/>
    <w:rsid w:val="007C0A2D"/>
    <w:rsid w:val="007C27B0"/>
    <w:rsid w:val="007C29B1"/>
    <w:rsid w:val="007F300B"/>
    <w:rsid w:val="007F7A57"/>
    <w:rsid w:val="008014C3"/>
    <w:rsid w:val="00812587"/>
    <w:rsid w:val="00816BDE"/>
    <w:rsid w:val="00850812"/>
    <w:rsid w:val="00874C81"/>
    <w:rsid w:val="00876B9A"/>
    <w:rsid w:val="00886C5F"/>
    <w:rsid w:val="00886CBD"/>
    <w:rsid w:val="008933BF"/>
    <w:rsid w:val="008A10C4"/>
    <w:rsid w:val="008A1D39"/>
    <w:rsid w:val="008A44D2"/>
    <w:rsid w:val="008B0248"/>
    <w:rsid w:val="008D191D"/>
    <w:rsid w:val="008F5F33"/>
    <w:rsid w:val="0090135F"/>
    <w:rsid w:val="009024B8"/>
    <w:rsid w:val="0091046A"/>
    <w:rsid w:val="00925C18"/>
    <w:rsid w:val="00926ABD"/>
    <w:rsid w:val="00947F4E"/>
    <w:rsid w:val="00951937"/>
    <w:rsid w:val="00962EDB"/>
    <w:rsid w:val="00966D47"/>
    <w:rsid w:val="00973E90"/>
    <w:rsid w:val="00992312"/>
    <w:rsid w:val="009C0DED"/>
    <w:rsid w:val="009C6A52"/>
    <w:rsid w:val="009E6D9B"/>
    <w:rsid w:val="00A004B4"/>
    <w:rsid w:val="00A205C1"/>
    <w:rsid w:val="00A20ED6"/>
    <w:rsid w:val="00A34D7D"/>
    <w:rsid w:val="00A37D7F"/>
    <w:rsid w:val="00A45051"/>
    <w:rsid w:val="00A46410"/>
    <w:rsid w:val="00A57688"/>
    <w:rsid w:val="00A6313B"/>
    <w:rsid w:val="00A63E97"/>
    <w:rsid w:val="00A80444"/>
    <w:rsid w:val="00A8105D"/>
    <w:rsid w:val="00A842E9"/>
    <w:rsid w:val="00A84A94"/>
    <w:rsid w:val="00A95A9F"/>
    <w:rsid w:val="00AB0BB1"/>
    <w:rsid w:val="00AB2958"/>
    <w:rsid w:val="00AD1DAA"/>
    <w:rsid w:val="00AF1E23"/>
    <w:rsid w:val="00AF33AB"/>
    <w:rsid w:val="00AF7F81"/>
    <w:rsid w:val="00B01AFF"/>
    <w:rsid w:val="00B03CB5"/>
    <w:rsid w:val="00B05CC7"/>
    <w:rsid w:val="00B27E39"/>
    <w:rsid w:val="00B350D8"/>
    <w:rsid w:val="00B3613D"/>
    <w:rsid w:val="00B42BA2"/>
    <w:rsid w:val="00B4779D"/>
    <w:rsid w:val="00B504A3"/>
    <w:rsid w:val="00B64C0D"/>
    <w:rsid w:val="00B704D0"/>
    <w:rsid w:val="00B76763"/>
    <w:rsid w:val="00B7732B"/>
    <w:rsid w:val="00B8652D"/>
    <w:rsid w:val="00B879F0"/>
    <w:rsid w:val="00BA097E"/>
    <w:rsid w:val="00BA7377"/>
    <w:rsid w:val="00BB2756"/>
    <w:rsid w:val="00BB306A"/>
    <w:rsid w:val="00BC25AA"/>
    <w:rsid w:val="00BF1DE9"/>
    <w:rsid w:val="00BF682E"/>
    <w:rsid w:val="00BF6BDB"/>
    <w:rsid w:val="00C01121"/>
    <w:rsid w:val="00C022E3"/>
    <w:rsid w:val="00C03D0B"/>
    <w:rsid w:val="00C22D17"/>
    <w:rsid w:val="00C26BB2"/>
    <w:rsid w:val="00C31C4A"/>
    <w:rsid w:val="00C4712D"/>
    <w:rsid w:val="00C555C9"/>
    <w:rsid w:val="00C608BF"/>
    <w:rsid w:val="00C94F55"/>
    <w:rsid w:val="00CA3FE3"/>
    <w:rsid w:val="00CA7D62"/>
    <w:rsid w:val="00CB07A8"/>
    <w:rsid w:val="00CB660E"/>
    <w:rsid w:val="00CD4A57"/>
    <w:rsid w:val="00CF3977"/>
    <w:rsid w:val="00CF491D"/>
    <w:rsid w:val="00D146F1"/>
    <w:rsid w:val="00D16D2C"/>
    <w:rsid w:val="00D22C04"/>
    <w:rsid w:val="00D25972"/>
    <w:rsid w:val="00D33604"/>
    <w:rsid w:val="00D36C64"/>
    <w:rsid w:val="00D37B08"/>
    <w:rsid w:val="00D437FF"/>
    <w:rsid w:val="00D5130C"/>
    <w:rsid w:val="00D62265"/>
    <w:rsid w:val="00D65416"/>
    <w:rsid w:val="00D73770"/>
    <w:rsid w:val="00D812A5"/>
    <w:rsid w:val="00D8512E"/>
    <w:rsid w:val="00D87DDE"/>
    <w:rsid w:val="00DA1E58"/>
    <w:rsid w:val="00DB75B8"/>
    <w:rsid w:val="00DC1055"/>
    <w:rsid w:val="00DC2624"/>
    <w:rsid w:val="00DD5ED2"/>
    <w:rsid w:val="00DE4EF2"/>
    <w:rsid w:val="00DE51EB"/>
    <w:rsid w:val="00DE5385"/>
    <w:rsid w:val="00DF0F93"/>
    <w:rsid w:val="00DF2C0E"/>
    <w:rsid w:val="00E04DB6"/>
    <w:rsid w:val="00E06FFB"/>
    <w:rsid w:val="00E25499"/>
    <w:rsid w:val="00E30155"/>
    <w:rsid w:val="00E41E47"/>
    <w:rsid w:val="00E47EAC"/>
    <w:rsid w:val="00E8522C"/>
    <w:rsid w:val="00E91FE1"/>
    <w:rsid w:val="00E96915"/>
    <w:rsid w:val="00EA4F09"/>
    <w:rsid w:val="00EA5E95"/>
    <w:rsid w:val="00ED4954"/>
    <w:rsid w:val="00ED5A43"/>
    <w:rsid w:val="00EE0943"/>
    <w:rsid w:val="00EE33A2"/>
    <w:rsid w:val="00F053E4"/>
    <w:rsid w:val="00F0711A"/>
    <w:rsid w:val="00F3281C"/>
    <w:rsid w:val="00F36F87"/>
    <w:rsid w:val="00F44A34"/>
    <w:rsid w:val="00F526B6"/>
    <w:rsid w:val="00F608CA"/>
    <w:rsid w:val="00F65443"/>
    <w:rsid w:val="00F67A1C"/>
    <w:rsid w:val="00F73764"/>
    <w:rsid w:val="00F74EC3"/>
    <w:rsid w:val="00F757C8"/>
    <w:rsid w:val="00F76AC2"/>
    <w:rsid w:val="00F82C5B"/>
    <w:rsid w:val="00F85325"/>
    <w:rsid w:val="00F853AE"/>
    <w:rsid w:val="00F8555F"/>
    <w:rsid w:val="00FA33D8"/>
    <w:rsid w:val="00FA3D90"/>
    <w:rsid w:val="00FB0B3F"/>
    <w:rsid w:val="00FB3E36"/>
    <w:rsid w:val="00FD0CFA"/>
    <w:rsid w:val="00FE2980"/>
    <w:rsid w:val="00FE6F70"/>
    <w:rsid w:val="00FF3EB3"/>
    <w:rsid w:val="00FF4910"/>
    <w:rsid w:val="00FF553E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37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6541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A1D00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2E4130"/>
    <w:rPr>
      <w:rFonts w:ascii="Arial" w:hAnsi="Arial"/>
      <w:b/>
      <w:lang w:eastAsia="en-US"/>
    </w:rPr>
  </w:style>
  <w:style w:type="table" w:styleId="affff6">
    <w:name w:val="Table Grid"/>
    <w:basedOn w:val="a1"/>
    <w:rsid w:val="00F36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03D0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cp:lastPrinted>1899-12-31T23:00:00Z</cp:lastPrinted>
  <dcterms:created xsi:type="dcterms:W3CDTF">2024-10-04T01:47:00Z</dcterms:created>
  <dcterms:modified xsi:type="dcterms:W3CDTF">2024-10-04T03:23:00Z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1728012229</vt:lpwstr>
  </property>
</Properties>
</file>